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6FB" w:rsidRPr="00A60607" w:rsidRDefault="00E136FB" w:rsidP="00E136FB">
      <w:pPr>
        <w:widowControl w:val="0"/>
        <w:tabs>
          <w:tab w:val="left" w:pos="95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6060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СРАВНИТЕЛЬНАЯ ТАБЛИЦА</w:t>
      </w:r>
    </w:p>
    <w:p w:rsidR="00E136FB" w:rsidRPr="00A60607" w:rsidRDefault="00E136FB" w:rsidP="00E13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60607">
        <w:rPr>
          <w:rFonts w:ascii="Times New Roman" w:eastAsia="Times New Roman" w:hAnsi="Times New Roman" w:cs="Times New Roman"/>
          <w:b/>
          <w:sz w:val="28"/>
          <w:szCs w:val="24"/>
        </w:rPr>
        <w:t>к приказу</w:t>
      </w:r>
      <w:r w:rsidRPr="00A60607">
        <w:rPr>
          <w:rFonts w:ascii="Times New Roman" w:eastAsia="Times New Roman" w:hAnsi="Times New Roman" w:cs="Times New Roman"/>
          <w:color w:val="365F91"/>
          <w:sz w:val="36"/>
          <w:szCs w:val="32"/>
        </w:rPr>
        <w:t xml:space="preserve"> </w:t>
      </w:r>
      <w:r w:rsidRPr="00A60607">
        <w:rPr>
          <w:rFonts w:ascii="Times New Roman" w:eastAsia="Times New Roman" w:hAnsi="Times New Roman" w:cs="Times New Roman"/>
          <w:b/>
          <w:sz w:val="28"/>
          <w:szCs w:val="24"/>
        </w:rPr>
        <w:t>Министра финансов Республики Казахстан от «___» 20_______</w:t>
      </w:r>
      <w:r w:rsidRPr="00A60607">
        <w:rPr>
          <w:rFonts w:ascii="Times New Roman" w:eastAsia="Times New Roman" w:hAnsi="Times New Roman" w:cs="Times New Roman"/>
          <w:b/>
          <w:sz w:val="28"/>
          <w:szCs w:val="24"/>
        </w:rPr>
        <w:tab/>
        <w:t xml:space="preserve">года № ____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br/>
      </w:r>
      <w:r w:rsidRPr="00A60607">
        <w:rPr>
          <w:rFonts w:ascii="Times New Roman" w:eastAsia="Times New Roman" w:hAnsi="Times New Roman" w:cs="Times New Roman"/>
          <w:b/>
          <w:sz w:val="28"/>
          <w:szCs w:val="24"/>
        </w:rPr>
        <w:t>«О внесении изменений в приказ Министра фин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ансов Республики Казахстан от 16 февраля 2018 года № 225 </w:t>
      </w:r>
      <w:r w:rsidRPr="00BF1717">
        <w:t xml:space="preserve"> </w:t>
      </w:r>
      <w:r>
        <w:br/>
      </w:r>
      <w:r w:rsidRPr="002B344A">
        <w:rPr>
          <w:rFonts w:ascii="Times New Roman" w:eastAsia="Times New Roman" w:hAnsi="Times New Roman" w:cs="Times New Roman"/>
          <w:b/>
          <w:sz w:val="28"/>
          <w:szCs w:val="24"/>
        </w:rPr>
        <w:t>«</w:t>
      </w:r>
      <w:r w:rsidRPr="00BF1717">
        <w:rPr>
          <w:rFonts w:ascii="Times New Roman" w:eastAsia="Times New Roman" w:hAnsi="Times New Roman" w:cs="Times New Roman"/>
          <w:b/>
          <w:sz w:val="28"/>
          <w:szCs w:val="24"/>
        </w:rPr>
        <w:t xml:space="preserve">Об утверждении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О</w:t>
      </w:r>
      <w:r w:rsidRPr="00BF1717">
        <w:rPr>
          <w:rFonts w:ascii="Times New Roman" w:eastAsia="Times New Roman" w:hAnsi="Times New Roman" w:cs="Times New Roman"/>
          <w:b/>
          <w:sz w:val="28"/>
          <w:szCs w:val="24"/>
        </w:rPr>
        <w:t>собенностей предъявления условно выпущенных товаров либо подтверждения места их нахождения при проведении таможенного контроля после выпуска товаров для подтверждения соблюдения целей и условий предоставления льгот по уплате ввозных таможенных пошлин, налогов и (или) ограничений по пользованию и (или) распоряжению этими товарами в связи с применением льгот по уплате ввозных таможенных пошлин, налогов, а также периодичности проведения и иных требований к проведению таможенного контроля после выпуска товаров в отношении условно выпущенных товаров</w:t>
      </w:r>
      <w:r w:rsidRPr="00A60607">
        <w:rPr>
          <w:rFonts w:ascii="Times New Roman" w:eastAsia="Times New Roman" w:hAnsi="Times New Roman" w:cs="Times New Roman"/>
          <w:b/>
          <w:sz w:val="28"/>
          <w:szCs w:val="24"/>
        </w:rPr>
        <w:t>»</w:t>
      </w:r>
    </w:p>
    <w:p w:rsidR="00E136FB" w:rsidRPr="00A60607" w:rsidRDefault="00E136FB" w:rsidP="00E136F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146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277"/>
        <w:gridCol w:w="4969"/>
        <w:gridCol w:w="4399"/>
        <w:gridCol w:w="3549"/>
      </w:tblGrid>
      <w:tr w:rsidR="00E136FB" w:rsidRPr="00A60607" w:rsidTr="00475A95">
        <w:trPr>
          <w:trHeight w:val="1070"/>
        </w:trPr>
        <w:tc>
          <w:tcPr>
            <w:tcW w:w="455" w:type="dxa"/>
            <w:hideMark/>
          </w:tcPr>
          <w:p w:rsidR="00E136FB" w:rsidRPr="00A60607" w:rsidRDefault="00E136FB" w:rsidP="00475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A60607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№</w:t>
            </w:r>
          </w:p>
          <w:p w:rsidR="00E136FB" w:rsidRPr="00A60607" w:rsidRDefault="00E136FB" w:rsidP="00475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A60607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п/п</w:t>
            </w:r>
          </w:p>
        </w:tc>
        <w:tc>
          <w:tcPr>
            <w:tcW w:w="1277" w:type="dxa"/>
            <w:hideMark/>
          </w:tcPr>
          <w:p w:rsidR="00E136FB" w:rsidRPr="00A60607" w:rsidRDefault="00E136FB" w:rsidP="00475A95">
            <w:pPr>
              <w:widowControl w:val="0"/>
              <w:tabs>
                <w:tab w:val="left" w:pos="9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proofErr w:type="spellStart"/>
            <w:r w:rsidRPr="00A6060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Струк-турный</w:t>
            </w:r>
            <w:proofErr w:type="spellEnd"/>
            <w:r w:rsidRPr="00A6060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элемент правового акта</w:t>
            </w:r>
          </w:p>
        </w:tc>
        <w:tc>
          <w:tcPr>
            <w:tcW w:w="4969" w:type="dxa"/>
            <w:hideMark/>
          </w:tcPr>
          <w:p w:rsidR="00E136FB" w:rsidRPr="00A60607" w:rsidRDefault="00E136FB" w:rsidP="00475A95">
            <w:pPr>
              <w:widowControl w:val="0"/>
              <w:tabs>
                <w:tab w:val="left" w:pos="9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A6060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4399" w:type="dxa"/>
            <w:hideMark/>
          </w:tcPr>
          <w:p w:rsidR="00E136FB" w:rsidRPr="00A60607" w:rsidRDefault="00E136FB" w:rsidP="00475A95">
            <w:pPr>
              <w:widowControl w:val="0"/>
              <w:tabs>
                <w:tab w:val="left" w:pos="9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A60607"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4"/>
                <w:lang w:eastAsia="ru-RU"/>
              </w:rPr>
              <w:t>Предлагаемая редакция</w:t>
            </w:r>
          </w:p>
        </w:tc>
        <w:tc>
          <w:tcPr>
            <w:tcW w:w="3549" w:type="dxa"/>
          </w:tcPr>
          <w:p w:rsidR="00E136FB" w:rsidRPr="00A60607" w:rsidRDefault="00E136FB" w:rsidP="00475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napToGrid w:val="0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8"/>
                <w:szCs w:val="24"/>
              </w:rPr>
              <w:t>Обоснование</w:t>
            </w:r>
          </w:p>
          <w:p w:rsidR="00E136FB" w:rsidRPr="00A60607" w:rsidRDefault="00E136FB" w:rsidP="00475A9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napToGrid w:val="0"/>
                <w:sz w:val="28"/>
                <w:szCs w:val="24"/>
              </w:rPr>
            </w:pPr>
          </w:p>
        </w:tc>
      </w:tr>
      <w:tr w:rsidR="00E136FB" w:rsidRPr="00A60607" w:rsidTr="00475A95">
        <w:trPr>
          <w:trHeight w:val="205"/>
        </w:trPr>
        <w:tc>
          <w:tcPr>
            <w:tcW w:w="455" w:type="dxa"/>
            <w:hideMark/>
          </w:tcPr>
          <w:p w:rsidR="00E136FB" w:rsidRPr="00A60607" w:rsidRDefault="00E136FB" w:rsidP="00475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A60607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277" w:type="dxa"/>
            <w:hideMark/>
          </w:tcPr>
          <w:p w:rsidR="00E136FB" w:rsidRPr="00A60607" w:rsidRDefault="00E136FB" w:rsidP="00475A95">
            <w:pPr>
              <w:widowControl w:val="0"/>
              <w:tabs>
                <w:tab w:val="left" w:pos="9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606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4969" w:type="dxa"/>
            <w:hideMark/>
          </w:tcPr>
          <w:p w:rsidR="00E136FB" w:rsidRPr="00A60607" w:rsidRDefault="00E136FB" w:rsidP="00475A95">
            <w:pPr>
              <w:widowControl w:val="0"/>
              <w:tabs>
                <w:tab w:val="left" w:pos="9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606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4399" w:type="dxa"/>
            <w:hideMark/>
          </w:tcPr>
          <w:p w:rsidR="00E136FB" w:rsidRPr="00A60607" w:rsidRDefault="00E136FB" w:rsidP="00475A95">
            <w:pPr>
              <w:widowControl w:val="0"/>
              <w:tabs>
                <w:tab w:val="left" w:pos="9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A60607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3549" w:type="dxa"/>
            <w:hideMark/>
          </w:tcPr>
          <w:p w:rsidR="00E136FB" w:rsidRPr="00A60607" w:rsidRDefault="00E136FB" w:rsidP="00475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8"/>
                <w:szCs w:val="24"/>
              </w:rPr>
            </w:pPr>
            <w:r w:rsidRPr="00A60607">
              <w:rPr>
                <w:rFonts w:ascii="Times New Roman" w:eastAsia="Calibri" w:hAnsi="Times New Roman" w:cs="Times New Roman"/>
                <w:snapToGrid w:val="0"/>
                <w:sz w:val="28"/>
                <w:szCs w:val="24"/>
              </w:rPr>
              <w:t>5</w:t>
            </w:r>
          </w:p>
        </w:tc>
      </w:tr>
      <w:tr w:rsidR="00E136FB" w:rsidRPr="00A60607" w:rsidTr="00475A95">
        <w:trPr>
          <w:trHeight w:val="1513"/>
        </w:trPr>
        <w:tc>
          <w:tcPr>
            <w:tcW w:w="455" w:type="dxa"/>
          </w:tcPr>
          <w:p w:rsidR="00E136FB" w:rsidRPr="00A60607" w:rsidRDefault="00E136FB" w:rsidP="00475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277" w:type="dxa"/>
          </w:tcPr>
          <w:p w:rsidR="00E136FB" w:rsidRPr="00A60607" w:rsidRDefault="00E136FB" w:rsidP="00475A95">
            <w:pPr>
              <w:widowControl w:val="0"/>
              <w:tabs>
                <w:tab w:val="left" w:pos="9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п</w:t>
            </w:r>
            <w:r w:rsidRPr="00A60607">
              <w:rPr>
                <w:rFonts w:ascii="Times New Roman" w:eastAsia="Times New Roman" w:hAnsi="Times New Roman" w:cs="Times New Roman"/>
                <w:lang w:val="kk-KZ" w:eastAsia="ru-RU"/>
              </w:rPr>
              <w:t>реамбула</w:t>
            </w:r>
          </w:p>
        </w:tc>
        <w:tc>
          <w:tcPr>
            <w:tcW w:w="4969" w:type="dxa"/>
          </w:tcPr>
          <w:p w:rsidR="00E136FB" w:rsidRPr="00A60607" w:rsidRDefault="00E136FB" w:rsidP="00475A95">
            <w:pPr>
              <w:widowControl w:val="0"/>
              <w:tabs>
                <w:tab w:val="left" w:pos="952"/>
              </w:tabs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3B3F">
              <w:rPr>
                <w:rFonts w:ascii="Times New Roman" w:eastAsia="Times New Roman" w:hAnsi="Times New Roman" w:cs="Times New Roman"/>
                <w:lang w:eastAsia="ru-RU"/>
              </w:rPr>
              <w:t>В соответствии со статьей 400 Кодекса Республики Каз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ахстан </w:t>
            </w:r>
            <w:r w:rsidRPr="00DA3FA3">
              <w:rPr>
                <w:rFonts w:ascii="Times New Roman" w:eastAsia="Times New Roman" w:hAnsi="Times New Roman" w:cs="Times New Roman"/>
                <w:b/>
                <w:lang w:eastAsia="ru-RU"/>
              </w:rPr>
              <w:t>от 26 декабря 2017 года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C13B3F">
              <w:rPr>
                <w:rFonts w:ascii="Times New Roman" w:eastAsia="Times New Roman" w:hAnsi="Times New Roman" w:cs="Times New Roman"/>
                <w:lang w:eastAsia="ru-RU"/>
              </w:rPr>
              <w:t xml:space="preserve">О таможенном регулировании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Республике Казахстан»</w:t>
            </w:r>
            <w:r w:rsidRPr="00C13B3F">
              <w:rPr>
                <w:rFonts w:ascii="Times New Roman" w:eastAsia="Times New Roman" w:hAnsi="Times New Roman" w:cs="Times New Roman"/>
                <w:lang w:eastAsia="ru-RU"/>
              </w:rPr>
              <w:t xml:space="preserve"> ПРИКАЗЫВАЮ:</w:t>
            </w:r>
          </w:p>
        </w:tc>
        <w:tc>
          <w:tcPr>
            <w:tcW w:w="4399" w:type="dxa"/>
          </w:tcPr>
          <w:p w:rsidR="00E136FB" w:rsidRPr="00A60607" w:rsidRDefault="00E136FB" w:rsidP="00475A95">
            <w:pPr>
              <w:widowControl w:val="0"/>
              <w:tabs>
                <w:tab w:val="left" w:pos="952"/>
              </w:tabs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C13B3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 соответствии со статьей 4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00 Кодекса Республики Казахстан 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br/>
              <w:t>«</w:t>
            </w:r>
            <w:r w:rsidRPr="00C13B3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 таможенном регул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ировании в Республике Казахстан»</w:t>
            </w:r>
            <w:r w:rsidRPr="00C13B3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ПРИКАЗЫВАЮ:</w:t>
            </w:r>
          </w:p>
        </w:tc>
        <w:tc>
          <w:tcPr>
            <w:tcW w:w="3549" w:type="dxa"/>
          </w:tcPr>
          <w:p w:rsidR="00E136FB" w:rsidRPr="00A60607" w:rsidRDefault="00E136FB" w:rsidP="00475A95">
            <w:pPr>
              <w:spacing w:after="0" w:line="240" w:lineRule="auto"/>
              <w:ind w:firstLine="604"/>
              <w:jc w:val="both"/>
              <w:rPr>
                <w:rFonts w:ascii="Times New Roman" w:eastAsia="Calibri" w:hAnsi="Times New Roman" w:cs="Times New Roman"/>
                <w:snapToGrid w:val="0"/>
              </w:rPr>
            </w:pPr>
            <w:r w:rsidRPr="00422088">
              <w:rPr>
                <w:rFonts w:ascii="Times New Roman" w:eastAsia="Calibri" w:hAnsi="Times New Roman" w:cs="Times New Roman"/>
                <w:snapToGrid w:val="0"/>
              </w:rPr>
              <w:t>Приведение в соответствие с пунктом 5 статьи 25 Закона Республики Казахстан</w:t>
            </w:r>
            <w:r>
              <w:rPr>
                <w:rFonts w:ascii="Times New Roman" w:eastAsia="Calibri" w:hAnsi="Times New Roman" w:cs="Times New Roman"/>
                <w:snapToGrid w:val="0"/>
              </w:rPr>
              <w:t xml:space="preserve"> </w:t>
            </w:r>
            <w:r w:rsidRPr="00422088">
              <w:rPr>
                <w:rFonts w:ascii="Times New Roman" w:eastAsia="Calibri" w:hAnsi="Times New Roman" w:cs="Times New Roman"/>
                <w:snapToGrid w:val="0"/>
              </w:rPr>
              <w:t>«О правовых актах»</w:t>
            </w:r>
            <w:r w:rsidR="005A7A32">
              <w:rPr>
                <w:rFonts w:ascii="Times New Roman" w:eastAsia="Calibri" w:hAnsi="Times New Roman" w:cs="Times New Roman"/>
                <w:snapToGrid w:val="0"/>
              </w:rPr>
              <w:t xml:space="preserve"> (далее - Закон)</w:t>
            </w:r>
            <w:r w:rsidRPr="00422088">
              <w:rPr>
                <w:rFonts w:ascii="Times New Roman" w:eastAsia="Calibri" w:hAnsi="Times New Roman" w:cs="Times New Roman"/>
                <w:snapToGrid w:val="0"/>
              </w:rPr>
              <w:t>, согласно которому при ссылке на законодательные акты указание номеров, под которыми они зарегистрированы, а также дат их принятия не требуется.</w:t>
            </w:r>
          </w:p>
        </w:tc>
      </w:tr>
      <w:tr w:rsidR="00E136FB" w:rsidRPr="00A60607" w:rsidTr="00475A95">
        <w:trPr>
          <w:trHeight w:val="1513"/>
        </w:trPr>
        <w:tc>
          <w:tcPr>
            <w:tcW w:w="14649" w:type="dxa"/>
            <w:gridSpan w:val="5"/>
          </w:tcPr>
          <w:p w:rsidR="00E136FB" w:rsidRPr="005A7A32" w:rsidRDefault="00E136FB" w:rsidP="00475A95">
            <w:pPr>
              <w:spacing w:after="0" w:line="240" w:lineRule="auto"/>
              <w:ind w:firstLine="604"/>
              <w:jc w:val="center"/>
              <w:rPr>
                <w:rFonts w:ascii="Times New Roman" w:eastAsia="Calibri" w:hAnsi="Times New Roman" w:cs="Times New Roman"/>
                <w:b/>
                <w:snapToGrid w:val="0"/>
              </w:rPr>
            </w:pPr>
            <w:r w:rsidRPr="005A7A32">
              <w:rPr>
                <w:rFonts w:ascii="Times New Roman" w:eastAsia="Calibri" w:hAnsi="Times New Roman" w:cs="Times New Roman"/>
                <w:b/>
                <w:snapToGrid w:val="0"/>
              </w:rPr>
              <w:t>Особенности предъявления условно выпущенных товаров либо подтверждения места их нахождения при проведении таможенного контроля после выпуска товаров для подтверждения соблюдения целей и условий предоставления льгот по уплате ввозных таможенных пошлин, налогов и (или) ограничений по пользованию и (или) распоряжению этими товарами в связи с применением льгот по уплате ввозных таможенных пошлин, налогов, а также периодичность проведения и иные требования к проведению таможенного контроля после выпуска товаров в отношении условно выпущенных товаров</w:t>
            </w:r>
          </w:p>
        </w:tc>
      </w:tr>
      <w:tr w:rsidR="005A7A32" w:rsidRPr="00A60607" w:rsidTr="00475A95">
        <w:trPr>
          <w:trHeight w:val="5623"/>
        </w:trPr>
        <w:tc>
          <w:tcPr>
            <w:tcW w:w="455" w:type="dxa"/>
          </w:tcPr>
          <w:p w:rsidR="005A7A32" w:rsidRDefault="005A7A32" w:rsidP="00475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5A7A32" w:rsidRDefault="005A7A32" w:rsidP="00475A95">
            <w:pPr>
              <w:widowControl w:val="0"/>
              <w:tabs>
                <w:tab w:val="left" w:pos="9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7A32">
              <w:rPr>
                <w:rFonts w:ascii="Times New Roman" w:eastAsia="Times New Roman" w:hAnsi="Times New Roman" w:cs="Times New Roman"/>
                <w:lang w:eastAsia="ru-RU"/>
              </w:rPr>
              <w:t>абзац первый пункта 1</w:t>
            </w:r>
          </w:p>
        </w:tc>
        <w:tc>
          <w:tcPr>
            <w:tcW w:w="4969" w:type="dxa"/>
          </w:tcPr>
          <w:p w:rsidR="005A7A32" w:rsidRPr="00BF1717" w:rsidRDefault="005A7A32" w:rsidP="00475A95">
            <w:pPr>
              <w:widowControl w:val="0"/>
              <w:tabs>
                <w:tab w:val="left" w:pos="1312"/>
              </w:tabs>
              <w:spacing w:after="0" w:line="240" w:lineRule="auto"/>
              <w:ind w:firstLine="454"/>
              <w:jc w:val="both"/>
              <w:rPr>
                <w:rFonts w:ascii="Times New Roman" w:eastAsia="Calibri" w:hAnsi="Times New Roman" w:cs="Times New Roman"/>
                <w:snapToGrid w:val="0"/>
              </w:rPr>
            </w:pPr>
            <w:r w:rsidRPr="005A7A32">
              <w:rPr>
                <w:rFonts w:ascii="Times New Roman" w:eastAsia="Calibri" w:hAnsi="Times New Roman" w:cs="Times New Roman"/>
                <w:snapToGrid w:val="0"/>
              </w:rPr>
              <w:t xml:space="preserve">1. Настоящие Особенности предъявления условно выпущенных товаров либо подтверждения места их нахождения при проведении таможенного контроля после выпуска товаров для подтверждения соблюдения целей и условий предоставления льгот по уплате ввозных таможенных пошлин, налогов и (или) ограничений по пользованию и (или) распоряжению этими товарами в связи с применением льгот по уплате ввозных таможенных пошлин, налогов, а также периодичность проведения и иные требования к проведению таможенного контроля после выпуска товаров в отношении условно выпущенных товаров разработаны в соответствии со статьей 400 Кодекса Республики Казахстан </w:t>
            </w:r>
            <w:r w:rsidRPr="005A7A32">
              <w:rPr>
                <w:rFonts w:ascii="Times New Roman" w:eastAsia="Calibri" w:hAnsi="Times New Roman" w:cs="Times New Roman"/>
                <w:b/>
                <w:snapToGrid w:val="0"/>
              </w:rPr>
              <w:t>от 26 декабря 2017 года</w:t>
            </w:r>
            <w:r>
              <w:rPr>
                <w:rFonts w:ascii="Times New Roman" w:eastAsia="Calibri" w:hAnsi="Times New Roman" w:cs="Times New Roman"/>
                <w:snapToGrid w:val="0"/>
              </w:rPr>
              <w:t xml:space="preserve"> «</w:t>
            </w:r>
            <w:r w:rsidRPr="005A7A32">
              <w:rPr>
                <w:rFonts w:ascii="Times New Roman" w:eastAsia="Calibri" w:hAnsi="Times New Roman" w:cs="Times New Roman"/>
                <w:snapToGrid w:val="0"/>
              </w:rPr>
              <w:t>О таможенном регул</w:t>
            </w:r>
            <w:r>
              <w:rPr>
                <w:rFonts w:ascii="Times New Roman" w:eastAsia="Calibri" w:hAnsi="Times New Roman" w:cs="Times New Roman"/>
                <w:snapToGrid w:val="0"/>
              </w:rPr>
              <w:t>ировании в Республике Казахстан»</w:t>
            </w:r>
            <w:r w:rsidRPr="005A7A32">
              <w:rPr>
                <w:rFonts w:ascii="Times New Roman" w:eastAsia="Calibri" w:hAnsi="Times New Roman" w:cs="Times New Roman"/>
                <w:snapToGrid w:val="0"/>
              </w:rPr>
              <w:t xml:space="preserve"> (далее – Кодекс) и определяют:</w:t>
            </w:r>
          </w:p>
        </w:tc>
        <w:tc>
          <w:tcPr>
            <w:tcW w:w="4399" w:type="dxa"/>
          </w:tcPr>
          <w:p w:rsidR="005A7A32" w:rsidRDefault="005A7A32" w:rsidP="00475A95">
            <w:pPr>
              <w:widowControl w:val="0"/>
              <w:tabs>
                <w:tab w:val="left" w:pos="952"/>
              </w:tabs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1. </w:t>
            </w:r>
            <w:r w:rsidRPr="005A7A3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Настоящие Особенности предъявления условно выпущенных товаров либо подтверждения места их нахождения при проведении таможенного контроля после выпуска товаров для подтверждения соблюдения целей и условий предоставления льгот по уплате ввозных таможенных пошлин, налогов и (или) ограничений по пользованию и (или) распоряжению этими товарами в связи с применением льгот по уплате ввозных таможенных пошлин, налогов, а также периодичность проведения и иные требования к проведению таможенного контроля после выпуска товаров в отношении условно выпущенных товаров разработаны в соответствии со статьей 4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00 Кодекса Республики Казахстан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br/>
            </w:r>
            <w:r w:rsidRPr="005A7A3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«О таможенном регулировании в Республике Казахстан» (далее – Кодекс) и определяют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:</w:t>
            </w:r>
          </w:p>
        </w:tc>
        <w:tc>
          <w:tcPr>
            <w:tcW w:w="3549" w:type="dxa"/>
          </w:tcPr>
          <w:p w:rsidR="005A7A32" w:rsidRDefault="005A7A32" w:rsidP="005A7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</w:rPr>
            </w:pPr>
            <w:r w:rsidRPr="005A7A32">
              <w:rPr>
                <w:rFonts w:ascii="Times New Roman" w:eastAsia="Calibri" w:hAnsi="Times New Roman" w:cs="Times New Roman"/>
                <w:snapToGrid w:val="0"/>
              </w:rPr>
              <w:t>Приведение в соответствие с пунктом 5 статьи 25 Закона согласно которому при ссылке на законодательные акты указание номеров, под которыми они зарегистрированы, а так</w:t>
            </w:r>
            <w:r>
              <w:rPr>
                <w:rFonts w:ascii="Times New Roman" w:eastAsia="Calibri" w:hAnsi="Times New Roman" w:cs="Times New Roman"/>
                <w:snapToGrid w:val="0"/>
              </w:rPr>
              <w:t xml:space="preserve">же дат их принятия не требуется </w:t>
            </w:r>
          </w:p>
        </w:tc>
      </w:tr>
      <w:tr w:rsidR="00E136FB" w:rsidRPr="00A60607" w:rsidTr="00475A95">
        <w:trPr>
          <w:trHeight w:val="5623"/>
        </w:trPr>
        <w:tc>
          <w:tcPr>
            <w:tcW w:w="455" w:type="dxa"/>
          </w:tcPr>
          <w:p w:rsidR="00E136FB" w:rsidRPr="00A60607" w:rsidRDefault="00E136FB" w:rsidP="00475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2.</w:t>
            </w:r>
          </w:p>
        </w:tc>
        <w:tc>
          <w:tcPr>
            <w:tcW w:w="1277" w:type="dxa"/>
          </w:tcPr>
          <w:p w:rsidR="00E136FB" w:rsidRPr="00A60607" w:rsidRDefault="00E136FB" w:rsidP="00475A95">
            <w:pPr>
              <w:widowControl w:val="0"/>
              <w:tabs>
                <w:tab w:val="left" w:pos="9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пункт 6.</w:t>
            </w:r>
          </w:p>
          <w:p w:rsidR="00E136FB" w:rsidRPr="00A60607" w:rsidRDefault="00E136FB" w:rsidP="00475A95">
            <w:pPr>
              <w:widowControl w:val="0"/>
              <w:tabs>
                <w:tab w:val="left" w:pos="9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9" w:type="dxa"/>
          </w:tcPr>
          <w:p w:rsidR="00E136FB" w:rsidRDefault="00E136FB" w:rsidP="00475A95">
            <w:pPr>
              <w:widowControl w:val="0"/>
              <w:tabs>
                <w:tab w:val="left" w:pos="1312"/>
              </w:tabs>
              <w:spacing w:after="0" w:line="240" w:lineRule="auto"/>
              <w:ind w:firstLine="454"/>
              <w:jc w:val="both"/>
              <w:rPr>
                <w:rFonts w:ascii="Times New Roman" w:eastAsia="Calibri" w:hAnsi="Times New Roman" w:cs="Times New Roman"/>
                <w:b/>
                <w:snapToGrid w:val="0"/>
              </w:rPr>
            </w:pPr>
            <w:r w:rsidRPr="00BF1717">
              <w:rPr>
                <w:rFonts w:ascii="Times New Roman" w:eastAsia="Calibri" w:hAnsi="Times New Roman" w:cs="Times New Roman"/>
                <w:snapToGrid w:val="0"/>
              </w:rPr>
              <w:t xml:space="preserve">6. Проверка соблюдения требований в отношении условно выпущенных товаров, указанных в подпункте 2) </w:t>
            </w:r>
            <w:hyperlink r:id="rId7" w:anchor="z3884" w:history="1">
              <w:r w:rsidRPr="00BF1717">
                <w:rPr>
                  <w:rFonts w:ascii="Times New Roman" w:eastAsia="Calibri" w:hAnsi="Times New Roman" w:cs="Times New Roman"/>
                  <w:snapToGrid w:val="0"/>
                </w:rPr>
                <w:t>пункта 1</w:t>
              </w:r>
            </w:hyperlink>
            <w:r w:rsidRPr="00BF1717">
              <w:rPr>
                <w:rFonts w:ascii="Times New Roman" w:eastAsia="Calibri" w:hAnsi="Times New Roman" w:cs="Times New Roman"/>
                <w:snapToGrid w:val="0"/>
              </w:rPr>
              <w:t xml:space="preserve"> </w:t>
            </w:r>
            <w:r>
              <w:rPr>
                <w:rFonts w:ascii="Times New Roman" w:eastAsia="Calibri" w:hAnsi="Times New Roman" w:cs="Times New Roman"/>
                <w:snapToGrid w:val="0"/>
              </w:rPr>
              <w:br/>
            </w:r>
            <w:r w:rsidRPr="00BF1717">
              <w:rPr>
                <w:rFonts w:ascii="Times New Roman" w:eastAsia="Calibri" w:hAnsi="Times New Roman" w:cs="Times New Roman"/>
                <w:snapToGrid w:val="0"/>
              </w:rPr>
              <w:t>статьи 202 Кодекса, осуществляется структурным подразделением органов государственных доходов</w:t>
            </w:r>
            <w:r w:rsidRPr="00DA3FA3">
              <w:rPr>
                <w:rFonts w:ascii="Times New Roman" w:eastAsia="Calibri" w:hAnsi="Times New Roman" w:cs="Times New Roman"/>
                <w:b/>
                <w:snapToGrid w:val="0"/>
              </w:rPr>
              <w:t>,</w:t>
            </w:r>
            <w:r w:rsidRPr="00BF1717">
              <w:rPr>
                <w:rFonts w:ascii="Times New Roman" w:eastAsia="Calibri" w:hAnsi="Times New Roman" w:cs="Times New Roman"/>
                <w:snapToGrid w:val="0"/>
              </w:rPr>
              <w:t xml:space="preserve"> путем проведения таможенного осмотра помещений и территорий в соответствии со </w:t>
            </w:r>
            <w:hyperlink r:id="rId8" w:anchor="z415" w:history="1">
              <w:r w:rsidRPr="00BF1717">
                <w:rPr>
                  <w:rFonts w:ascii="Times New Roman" w:eastAsia="Calibri" w:hAnsi="Times New Roman" w:cs="Times New Roman"/>
                  <w:snapToGrid w:val="0"/>
                </w:rPr>
                <w:t>статьей 415</w:t>
              </w:r>
            </w:hyperlink>
            <w:r w:rsidRPr="00BF1717">
              <w:rPr>
                <w:rFonts w:ascii="Times New Roman" w:eastAsia="Calibri" w:hAnsi="Times New Roman" w:cs="Times New Roman"/>
                <w:snapToGrid w:val="0"/>
              </w:rPr>
              <w:t xml:space="preserve"> Кодекса </w:t>
            </w:r>
            <w:r w:rsidRPr="00DA3FA3">
              <w:rPr>
                <w:rFonts w:ascii="Times New Roman" w:eastAsia="Calibri" w:hAnsi="Times New Roman" w:cs="Times New Roman"/>
                <w:b/>
                <w:snapToGrid w:val="0"/>
              </w:rPr>
              <w:t>по истечению срока предоставления документов, подтверждающих соответствия требованиям технических регламентов, соблюдение запретов и ограничений после выпуска товаров в части технического регулирования, периодичностью не чаще 1 (одного) раза в 2 (два) месяца</w:t>
            </w:r>
            <w:r w:rsidRPr="00C13B3F">
              <w:rPr>
                <w:rFonts w:ascii="Times New Roman" w:eastAsia="Calibri" w:hAnsi="Times New Roman" w:cs="Times New Roman"/>
                <w:b/>
                <w:snapToGrid w:val="0"/>
              </w:rPr>
              <w:t>.</w:t>
            </w:r>
          </w:p>
          <w:p w:rsidR="00E136FB" w:rsidRPr="0089578E" w:rsidRDefault="00E136FB" w:rsidP="00475A95">
            <w:pPr>
              <w:widowControl w:val="0"/>
              <w:tabs>
                <w:tab w:val="left" w:pos="1312"/>
              </w:tabs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99" w:type="dxa"/>
          </w:tcPr>
          <w:p w:rsidR="00E136FB" w:rsidRPr="00DA3FA3" w:rsidRDefault="00E136FB" w:rsidP="00475A95">
            <w:pPr>
              <w:widowControl w:val="0"/>
              <w:tabs>
                <w:tab w:val="left" w:pos="952"/>
              </w:tabs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6. </w:t>
            </w:r>
            <w:r w:rsidRPr="00BF171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Проверка соблюдения требований в отношении условно выпущенных товаров, указанных в подпункте 2) пункта 1 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br/>
            </w:r>
            <w:r w:rsidRPr="00BF171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статьи 202 Кодекса, осуществляется структурным подразделением органов государственных доходов путем проведения 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в соответствии </w:t>
            </w:r>
            <w:r w:rsidRPr="00BF171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со статьей 415 Кодекса </w:t>
            </w:r>
            <w:r w:rsidRPr="00DA3FA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таможенного осмотра помещений и территорий:</w:t>
            </w:r>
          </w:p>
          <w:p w:rsidR="00E136FB" w:rsidRPr="00C13B3F" w:rsidRDefault="00E136FB" w:rsidP="00475A95">
            <w:pPr>
              <w:widowControl w:val="0"/>
              <w:tabs>
                <w:tab w:val="left" w:pos="952"/>
              </w:tabs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</w:t>
            </w:r>
            <w:r w:rsidRPr="00C13B3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по истечению срока представления документов, подтверждающих соответстви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е</w:t>
            </w:r>
            <w:r w:rsidRPr="00C13B3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требованиям технических регламентов, соблюдение запретов и ограничений после выпуска товаров в части технического регулирования, периодичностью не чаще 1 (одного) раза в 2 (два) месяца;</w:t>
            </w:r>
          </w:p>
          <w:p w:rsidR="00E136FB" w:rsidRPr="00C13B3F" w:rsidRDefault="00551B14" w:rsidP="00475A95">
            <w:pPr>
              <w:widowControl w:val="0"/>
              <w:tabs>
                <w:tab w:val="left" w:pos="952"/>
              </w:tabs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после истечении</w:t>
            </w:r>
            <w:r w:rsidR="00E136FB" w:rsidRPr="00C13B3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срока представления разрешительного документа; </w:t>
            </w:r>
          </w:p>
          <w:p w:rsidR="00E136FB" w:rsidRPr="00C13B3F" w:rsidRDefault="00E136FB" w:rsidP="00475A95">
            <w:pPr>
              <w:widowControl w:val="0"/>
              <w:tabs>
                <w:tab w:val="left" w:pos="952"/>
              </w:tabs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при подач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lang w:val="kk-KZ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заявления</w:t>
            </w:r>
            <w:r w:rsidRPr="00C13B3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на продлении срока представления разрешительного документа; </w:t>
            </w:r>
          </w:p>
          <w:p w:rsidR="00E136FB" w:rsidRPr="00C13B3F" w:rsidRDefault="00E136FB" w:rsidP="00475A95">
            <w:pPr>
              <w:widowControl w:val="0"/>
              <w:tabs>
                <w:tab w:val="left" w:pos="952"/>
              </w:tabs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после представления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br/>
            </w:r>
            <w:r w:rsidRPr="00C13B3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разрешительного документа (сертификата или декларации о соответствии); </w:t>
            </w:r>
          </w:p>
          <w:p w:rsidR="00E136FB" w:rsidRPr="00A60607" w:rsidRDefault="00E136FB" w:rsidP="00475A95">
            <w:pPr>
              <w:widowControl w:val="0"/>
              <w:tabs>
                <w:tab w:val="left" w:pos="952"/>
              </w:tabs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C13B3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при выявлении посредством 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цифровой</w:t>
            </w:r>
            <w:r w:rsidRPr="001810E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системы «Электронных счетов - фактур»</w:t>
            </w:r>
            <w:r w:rsidRPr="00C13B3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фактов реализации условно выпущенных товаров до представления разрешительного документа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.</w:t>
            </w:r>
          </w:p>
        </w:tc>
        <w:tc>
          <w:tcPr>
            <w:tcW w:w="3549" w:type="dxa"/>
          </w:tcPr>
          <w:p w:rsidR="00E136FB" w:rsidRPr="00A60607" w:rsidRDefault="00E136FB" w:rsidP="00475A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</w:rPr>
            </w:pPr>
            <w:r>
              <w:rPr>
                <w:rFonts w:ascii="Times New Roman" w:eastAsia="Calibri" w:hAnsi="Times New Roman" w:cs="Times New Roman"/>
                <w:snapToGrid w:val="0"/>
              </w:rPr>
              <w:t xml:space="preserve">       В </w:t>
            </w:r>
            <w:r w:rsidRPr="007013F5">
              <w:rPr>
                <w:rFonts w:ascii="Times New Roman" w:eastAsia="Calibri" w:hAnsi="Times New Roman" w:cs="Times New Roman"/>
                <w:snapToGrid w:val="0"/>
              </w:rPr>
              <w:t xml:space="preserve">целях </w:t>
            </w:r>
            <w:r>
              <w:rPr>
                <w:rFonts w:ascii="Times New Roman" w:eastAsia="Calibri" w:hAnsi="Times New Roman" w:cs="Times New Roman"/>
                <w:snapToGrid w:val="0"/>
              </w:rPr>
              <w:t xml:space="preserve">определения конкретных случаев проведения  должностным лицом органа государственных доходов проверки </w:t>
            </w:r>
            <w:r w:rsidRPr="00620D5D">
              <w:rPr>
                <w:rFonts w:ascii="Times New Roman" w:eastAsia="Calibri" w:hAnsi="Times New Roman" w:cs="Times New Roman"/>
                <w:snapToGrid w:val="0"/>
              </w:rPr>
              <w:t>соблюдения требований в отношении условно выпущенных товаров</w:t>
            </w:r>
            <w:r>
              <w:rPr>
                <w:rFonts w:ascii="Times New Roman" w:eastAsia="Calibri" w:hAnsi="Times New Roman" w:cs="Times New Roman"/>
                <w:snapToGrid w:val="0"/>
              </w:rPr>
              <w:t xml:space="preserve"> в соответствии с</w:t>
            </w:r>
            <w:r w:rsidRPr="007013F5">
              <w:rPr>
                <w:rFonts w:ascii="Times New Roman" w:eastAsia="Calibri" w:hAnsi="Times New Roman" w:cs="Times New Roman"/>
                <w:snapToGrid w:val="0"/>
              </w:rPr>
              <w:t xml:space="preserve"> рекомендаци</w:t>
            </w:r>
            <w:r>
              <w:rPr>
                <w:rFonts w:ascii="Times New Roman" w:eastAsia="Calibri" w:hAnsi="Times New Roman" w:cs="Times New Roman"/>
                <w:snapToGrid w:val="0"/>
              </w:rPr>
              <w:t xml:space="preserve">ями </w:t>
            </w:r>
            <w:r w:rsidRPr="007013F5">
              <w:rPr>
                <w:rFonts w:ascii="Times New Roman" w:eastAsia="Calibri" w:hAnsi="Times New Roman" w:cs="Times New Roman"/>
                <w:snapToGrid w:val="0"/>
              </w:rPr>
              <w:t>Высшей аудиторской палаты Республики Казахстан</w:t>
            </w:r>
            <w:r>
              <w:rPr>
                <w:rFonts w:ascii="Times New Roman" w:eastAsia="Calibri" w:hAnsi="Times New Roman" w:cs="Times New Roman"/>
                <w:snapToGrid w:val="0"/>
              </w:rPr>
              <w:t xml:space="preserve"> от 26 июня 2025 года №12-2-Н-</w:t>
            </w:r>
            <w:r>
              <w:rPr>
                <w:rFonts w:ascii="Times New Roman" w:eastAsia="Calibri" w:hAnsi="Times New Roman" w:cs="Times New Roman"/>
                <w:snapToGrid w:val="0"/>
                <w:lang w:val="kk-KZ"/>
              </w:rPr>
              <w:t>қбпу</w:t>
            </w:r>
            <w:r w:rsidRPr="007013F5">
              <w:rPr>
                <w:rFonts w:ascii="Times New Roman" w:eastAsia="Calibri" w:hAnsi="Times New Roman" w:cs="Times New Roman"/>
                <w:snapToGrid w:val="0"/>
              </w:rPr>
              <w:t>, данных по итогам госу</w:t>
            </w:r>
            <w:r>
              <w:rPr>
                <w:rFonts w:ascii="Times New Roman" w:eastAsia="Calibri" w:hAnsi="Times New Roman" w:cs="Times New Roman"/>
                <w:snapToGrid w:val="0"/>
              </w:rPr>
              <w:t>дарственного аудита за 2024 год</w:t>
            </w:r>
            <w:r w:rsidRPr="007013F5">
              <w:rPr>
                <w:rFonts w:ascii="Times New Roman" w:eastAsia="Calibri" w:hAnsi="Times New Roman" w:cs="Times New Roman"/>
                <w:snapToGrid w:val="0"/>
              </w:rPr>
              <w:t>.</w:t>
            </w:r>
          </w:p>
        </w:tc>
      </w:tr>
    </w:tbl>
    <w:p w:rsidR="0051710C" w:rsidRDefault="0051710C"/>
    <w:sectPr w:rsidR="0051710C" w:rsidSect="008957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1E1" w:rsidRDefault="00EE21E1" w:rsidP="0089578E">
      <w:pPr>
        <w:spacing w:after="0" w:line="240" w:lineRule="auto"/>
      </w:pPr>
      <w:r>
        <w:separator/>
      </w:r>
    </w:p>
  </w:endnote>
  <w:endnote w:type="continuationSeparator" w:id="0">
    <w:p w:rsidR="00EE21E1" w:rsidRDefault="00EE21E1" w:rsidP="00895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78E" w:rsidRDefault="0089578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78E" w:rsidRDefault="0089578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78E" w:rsidRDefault="008957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1E1" w:rsidRDefault="00EE21E1" w:rsidP="0089578E">
      <w:pPr>
        <w:spacing w:after="0" w:line="240" w:lineRule="auto"/>
      </w:pPr>
      <w:r>
        <w:separator/>
      </w:r>
    </w:p>
  </w:footnote>
  <w:footnote w:type="continuationSeparator" w:id="0">
    <w:p w:rsidR="00EE21E1" w:rsidRDefault="00EE21E1" w:rsidP="00895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78E" w:rsidRDefault="0089578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8767608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89578E" w:rsidRDefault="0089578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9578E" w:rsidRDefault="0089578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78E" w:rsidRDefault="008957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6FB"/>
    <w:rsid w:val="0051710C"/>
    <w:rsid w:val="0052439F"/>
    <w:rsid w:val="00551B14"/>
    <w:rsid w:val="005A7A32"/>
    <w:rsid w:val="00734D91"/>
    <w:rsid w:val="0089578E"/>
    <w:rsid w:val="00E136FB"/>
    <w:rsid w:val="00EE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F00401-94B5-4933-81DB-1A35F0506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57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578E"/>
  </w:style>
  <w:style w:type="paragraph" w:styleId="a5">
    <w:name w:val="footer"/>
    <w:basedOn w:val="a"/>
    <w:link w:val="a6"/>
    <w:uiPriority w:val="99"/>
    <w:unhideWhenUsed/>
    <w:rsid w:val="008957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5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170000012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K1700000120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6232E-FF0C-47A2-8153-1F87F5D70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Тощевикова Оксана</dc:creator>
  <cp:lastModifiedBy>Жазира Рамазанова Аскаровна</cp:lastModifiedBy>
  <cp:revision>6</cp:revision>
  <dcterms:created xsi:type="dcterms:W3CDTF">2026-02-11T12:01:00Z</dcterms:created>
  <dcterms:modified xsi:type="dcterms:W3CDTF">2026-02-26T11:56:00Z</dcterms:modified>
</cp:coreProperties>
</file>